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bCs/>
          <w:sz w:val="27"/>
          <w:szCs w:val="27"/>
          <w:highlight w:val="none"/>
        </w:rPr>
      </w:pPr>
      <w:r>
        <w:rPr>
          <w:rFonts w:ascii="Liberation Serif" w:hAnsi="Liberation Serif" w:eastAsia="Liberation Serif" w:cs="Liberation Serif"/>
          <w:b/>
          <w:sz w:val="27"/>
          <w:szCs w:val="27"/>
          <w:lang w:eastAsia="ru-RU"/>
        </w:rPr>
      </w: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450" cy="438150"/>
                <wp:effectExtent l="0" t="0" r="0" b="0"/>
                <wp:docPr id="1" name="Рисунок 3" descr="Логотип  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58334997" name="Рисунок 1" descr="Логотип  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2838449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50pt;height:34.50pt;mso-wrap-distance-left:0.00pt;mso-wrap-distance-top:0.00pt;mso-wrap-distance-right:0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  <w:bCs/>
          <w:sz w:val="27"/>
          <w:szCs w:val="27"/>
          <w:highlight w:val="none"/>
        </w:rPr>
      </w:r>
      <w:r>
        <w:rPr>
          <w:rFonts w:ascii="Liberation Serif" w:hAnsi="Liberation Serif" w:cs="Liberation Serif"/>
          <w:b/>
          <w:bCs/>
          <w:sz w:val="27"/>
          <w:szCs w:val="27"/>
          <w:highlight w:val="none"/>
        </w:rPr>
      </w:r>
    </w:p>
    <w:p>
      <w:pPr>
        <w:jc w:val="center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bCs/>
          <w:sz w:val="27"/>
          <w:szCs w:val="27"/>
        </w:rPr>
      </w:pPr>
      <w:r>
        <w:rPr>
          <w:rFonts w:ascii="Liberation Serif" w:hAnsi="Liberation Serif" w:cs="Liberation Serif"/>
          <w:b/>
          <w:sz w:val="27"/>
          <w:szCs w:val="27"/>
          <w:highlight w:val="none"/>
        </w:rPr>
      </w:r>
      <w:r>
        <w:rPr>
          <w:rFonts w:ascii="Liberation Serif" w:hAnsi="Liberation Serif" w:cs="Liberation Serif"/>
          <w:b/>
          <w:sz w:val="27"/>
          <w:szCs w:val="27"/>
          <w:highlight w:val="none"/>
        </w:rPr>
      </w:r>
      <w:r>
        <w:rPr>
          <w:rFonts w:ascii="Liberation Serif" w:hAnsi="Liberation Serif" w:cs="Liberation Serif"/>
          <w:b/>
          <w:bCs/>
          <w:sz w:val="27"/>
          <w:szCs w:val="27"/>
        </w:rPr>
      </w:r>
    </w:p>
    <w:p>
      <w:pPr>
        <w:jc w:val="center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7"/>
          <w:szCs w:val="27"/>
        </w:rPr>
      </w:pPr>
      <w:r>
        <w:rPr>
          <w:rFonts w:ascii="Liberation Serif" w:hAnsi="Liberation Serif" w:eastAsia="Liberation Serif" w:cs="Liberation Serif"/>
          <w:b/>
          <w:sz w:val="27"/>
          <w:szCs w:val="27"/>
          <w:lang w:eastAsia="ru-RU"/>
        </w:rPr>
        <w:t xml:space="preserve">ТЕХНИЧЕСКОЕ ЗАДАНИЕ</w:t>
      </w:r>
      <w:r>
        <w:rPr>
          <w:rFonts w:ascii="Liberation Serif" w:hAnsi="Liberation Serif" w:cs="Liberation Serif"/>
          <w:b/>
          <w:sz w:val="27"/>
          <w:szCs w:val="27"/>
        </w:rPr>
      </w:r>
      <w:r>
        <w:rPr>
          <w:rFonts w:ascii="Liberation Serif" w:hAnsi="Liberation Serif" w:cs="Liberation Serif"/>
          <w:b/>
          <w:sz w:val="27"/>
          <w:szCs w:val="27"/>
        </w:rPr>
      </w:r>
    </w:p>
    <w:p>
      <w:pPr>
        <w:jc w:val="center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емонт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и техническ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обслуживание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автотранспорта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9"/>
        <w:numPr>
          <w:ilvl w:val="0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Наименование услуг (н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оменклатура) и перечень объектов, на которых буду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 оказываться услуги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Ремонт и т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ехническое обслуживание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автотранспорта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АО «Томскэнергосбыт»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Список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автотранспорта,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подлежащего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ремонту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техническому обслуживанию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указан в Приложении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 №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1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к ТЗ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9"/>
        <w:numPr>
          <w:ilvl w:val="0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Общие требования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Основание для оказания услуг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Оказание услуг по техническому обслуживанию и ремонту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автотранспорта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Заказчика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включаю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 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себя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но не ограничиваются данным перечнем, следующие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работы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поддержание транспортных средств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 исправном состоянии и соот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ветствующем внешнем виде;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выявление и устранение возможных скрытых неисправностей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роведение диагностических и профилактических работ, выполняемых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 соответствии с технической документацией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завода-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изготовителя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обязательном порядке после определенного пробега, наработки или временного интервала по заранее утвержденному регламенту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проведения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сервисных работ в случае непредвиденных выходов из строя механизмов, узлов, агрегатов и эл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ементов электрооборудования;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абот по восстановлению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(замен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) деталей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узлов, достигших предельного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состояния;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устранение вмятин и трещин на панелях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каркасе кузова, кабины и рамы;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удаление продуктов коррозии,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восстановление и нанесение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противокоррозионного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покрытия кузова, кабины и рамы;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окраска кузова, кабины и рамы автомобиля с выполнением со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путствующих работ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выполнение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связанных с обеспечением работо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способного состояния автомобиля;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устранением отказ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ов работы транспортных средств;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восстановление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или замен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отдельных агрегатов, узлов и деталей, запасных частей достигших предельно допустимого состояния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при которых невозможно эксплуатировать автомобиль по прямому назначению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к срокам оказания услуг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Начало оказания услуг –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 момента подписания договора, но не ранее 01.01.202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6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Окончание оказания услуг–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31.12.2026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Нормативные требования к качеству услуг, их результату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выполняет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услуги п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техническому обслуживанию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 соответствии с установленными эксплуатационными и ремонтными нормами, рекомендациями завода-изготовителя, с соблюдением требований «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Правил оказания услуг (выполнения работ) по техническому обслуживанию и ремонту автомототранспортных средств»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Постановление Правительства РФ от 11.04.2011г. №290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9"/>
        <w:numPr>
          <w:ilvl w:val="0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к оказанию услуг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Объем оказываемых услуг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Ориентировочный объем оказания услуг (выполнения работ) указан в Приложении №2 к Техническому заданию и измеряется в нормо-час.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Услуги должны оказываться в полном объеме в согласованные с Заказчиком сроки и с надлежащим качеством.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Содержание, объём и сроки оказания услуг определяются заявкой на техническое обслуживание транспортного средства, с указанием срока проведения технического обслуживания и устранения неисправностей, согласованной сторонами.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Объем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определяется на основан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ии подписанного сторонами заказ–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наряда.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не 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праве корректировать объем 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 случае выявления скрытых дефектов автомобиля Заказчика без согласования с Заказчиком. Если при приемке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будет выявлена необходимость проведения допол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нительных объемов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возникших не по вине Исполнит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еля, или изменения объемов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эти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производятся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 согласия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 дополнительной заявке Заказчика.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стоимость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договора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должны быть включены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все затраты Исполнителя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в том числе стоимость замененных комплектующих, использованных материалов, смазок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спец жидкостей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а также все налоги, сборы и другие обязательные платежи, предусмотренные </w:t>
      </w:r>
      <w:hyperlink r:id="rId12" w:tooltip="Законы в России" w:history="1">
        <w:r>
          <w:rPr>
            <w:rFonts w:ascii="Liberation Serif" w:hAnsi="Liberation Serif" w:eastAsia="Liberation Serif" w:cs="Liberation Serif"/>
            <w:sz w:val="24"/>
            <w:szCs w:val="24"/>
            <w:lang w:eastAsia="ru-RU"/>
          </w:rPr>
          <w:t xml:space="preserve">законодательством Российской Федерации</w:t>
        </w:r>
      </w:hyperlink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расходы на перевозку, страхование, уплату таможенных пошлин, и иные расходы Исполнителя, связанные с исполнением обязанностей по договору.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Предварительно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 диагностирование объемов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а также количества и номенклатуры запасных частей, осуществляемое внешним осмотром без разборки и применения диагностического оборудования, производится без дополнительной оплаты.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к последовательности этапов 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оказания услуг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Заявка (предваритель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ная) на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техническое обслуживание или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ремонт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принимается посредством факсимильной связи или по телефону не позднее, чем за одни сутки до предполагаемой даты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проведения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 В заявке Заказчик указывает марку (модель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) и государственный номер транспорта, перечень подлежащих выполнению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 Заявка должн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 быть подписана уполномоченным лицом Заказчика.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передаче Заказчиком автотранспортного средства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Исполнителю для проведения 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техническому обслуживанию или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ремонту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Исполнител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ь в обязательном порядке составляет приемо-сдаточный акт, в котором отражаются комплектность автотранспортного средства, количество топлива в баке (баках), установленное дополнительное оборудование и его исправность, видимые наружные повреждения и дефекты.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После осмотра автомобиля и составления предварительного заказ-наряда Исполнитель информирует Заказчика об ориентировочной стоим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ости и сроках выполнения 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(включая стоимость запчастей, аксессуаров и расходных материалов)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Оконч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ательная стоимость 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и срок их выполнения (оказания) фиксируются в заказ-наряде при приемке автомобиля Исполнителем, и заверяются подписями ответственных лиц Заказчика и Исполнителя, права подписи которых оформлены распорядительным письмом или доверенностью.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Исполните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ль приступает к выполнению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только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после согласования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подписания заказ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-наряда Заказчиком.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случае 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ыявления в ходе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работ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каких-либо дополнительных, не отмечен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ных в заявке, неисправностей, влияющих на безопасность дорожного движения, Исполнитель незамедлительно информирует об этом Заказчика с указанием ориентировочной стоимости устранения неисправностей. Неисправность устраняется с составлением дополнительного з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аказ-наряда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выполнению основной заявки при наличии необходимых запчастей и материалов на складе Исполнителя.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получении автомобиля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технического обслуживание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или ремонта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передает Заказчику информацию (заполняет раздел «Рекомендации заказ-наряда») о выявленных недостатках, не влияющих на безопасность дорожного движения и марках заправленных масел и жидкостей.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Заказчик обязан проверить комплектность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автомобиля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бъем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качество выполненных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Одновременно Исполнитель передает Заказчику счет,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заказ-наряд и акт выполненных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к организации обеспечения услуг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по ремонту 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ли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техническому обслуживанию автотранспорта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должны выполняться Исполнителем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по факту обращения Заказчика, квалифицированными специалистами в специализированных мастерских, на исправном оборудовании, в соответствии с техническими требованиями завода-изготовителя, требованиями руководства по эксплуатации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(для представленных в Приложении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№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1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мар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ок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автомобилей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)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и действующим законод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ательством Российской Федерации с использованием материалов (в т.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ч. расходных материалов, необходимых для выполнения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предполагаемых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работ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обязан п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роизводить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техническому обслуживанию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или ремонту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 объеме, установленном эксплуатационной и ремонтной документацией завода–изготовителя,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сроки,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согласованные Сторонами в з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аказ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–наряде.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Нормы трудоемкости должны соответствовать руководству по эксплуатации транспортных средств и имеющимися нормами трудоемкости справочников заводов изготовителей либо иными нормативными документами.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исходит из сроков, соответствующих нормам времени,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бщепринятым для выполнения аналогичных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должен 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ообщать по тр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ебованию Заказчика все сведения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 ходе выполнения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должен н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емедленно предупредить Заказчика и до получения от него указаний приостановить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выполнение услуг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обнаружении, не зависящих от Исполнителя обстоятельств, которые угрожают качеству выполнения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либо создают невозможность его завершения в срок.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уведомляет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Заказчика о завершении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 по ремонту или техническому обслуживанию автотранспорта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не позднее 1 (одного) рабочего дня, следующего за днем окончания работ. Уведомление осуществляется посредством телефонной связи.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" w:name="_Hlk142299948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нитель обязуется производить утилизацию промышленных отходов, возникающих в результате проведения технического обслуживания и/или ремонта автотранспорта Заказчика. Исполнитель утилизирует отходы самостоятельно или при помощи специализированных организаций.</w:t>
      </w:r>
      <w:bookmarkEnd w:id="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к применяемым материалам и оборудованию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оказываются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 специализированных мастерс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ких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Исполнителя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 применением исправного специального инструмента и оборудования достаточн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ого для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оказания услуг по техническому обслуживанию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и ремонту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техническому обслуживанию или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ремонту производятся 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сервисном центре Исполнителя в г. Томске, с использованием собственного оборудования, расходных материалов и запасных частей, рекомендованных к использованию заводом-изготовителем.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Исполнитель приобретает за счет из собственных средств необходимые для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выполнения технического обслуживания или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ремонта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запасные части с последующим от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ражением затрат в заказ-наряде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обязан согласовывать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 Заказчиком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объем выполняемых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и используемых запасных частей.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обязан устанавливать на авто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мобили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Заказчика только новые оригинальные запасные части в соответствии с каталожными номерами завода изготовителя или запасными частями, отвечающими требованиям завода изготовителя.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Использование восстановленных запасных частей не допускается.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безопасности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несёт ответственность за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соблюдение правил охраны труда и техники безопасности,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обеспечение своих работников средствами индивидуальной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защиты,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исправным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инструментом и приспособлениями, необходимыми для оказания услуг.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к порядку подготовки и передачи заказчику документов при проведении услуг и их завершении.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Не позднее 5 числа месяца, следующего за отчетным кварталом, направлять в адрес Заказчика, оформленный со своей стороны акт сверки. Заказчик в течение 5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рабочих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дней с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момента получения акта сверки,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Оригиналы документов, подтверждающих факт оказания услуги (подписанные Исполнителем акты приемки оказанных услуг и счета–фактуры), должны быть направлены Заказчику до 7-го числа месяца, следующего за месяцем окончания оказания услуг.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Документы, подтверждающие факт оказания услуги должны быть оформлены на имя Заказчика. В случае непредставления необходимых документов Заказчик уведомляет об этом Ис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к гарантийным обязательствам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Срок предоставления гаран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тии качества на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оказание 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техническому обслуживанию или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ремонту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транспортных средств со дня подписания акта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оказанных 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должен составлять: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на техническое обслуживание – до следующего ТО (пробег определяется инструкцией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завода-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изготовителя);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на ремонт автомобилей импортного производства 12 месяцев, либо 50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000 километров пробега, в зависимости, что наступит ранее;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на ремонт автомобилей отечественного производства 6 месяцев, либо 30 000 километров пробега, в зависимости, что наступит ранее;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на запасные части (за исключением расходных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материалов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) – не менее 12 месяцев.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случае выхода из строя замененных запасных частей полностью или их комплектующих, в течение гарантийного срока эксплуатации, устранение неисправностей вплоть до их замены производится за счет Исполнителя. При этом гарантийный срок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на выполненные услуги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используемые при выполнении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работ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запасные части продлевается на период гарантийного срока с момента уведомления о выходе из строя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комплектующих (запасных частей)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обязан устранить выявленные недостатки в срок, согласованный Сторонами, при этом гарантийный срок продлевается на период устранения дефектов.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соответствии с действующим законодательством Исполнитель несет полную ответственность за качество оказываемых услуг, за выполнение заказа в срок, а также за сохранность и комплектность принятого автомобиля. Гарантия на работы по техническому обслуживанию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ремонту автотранспорта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означает бесплатное устранение неисправностей, возникших по вине Исполнителя в течение гарантийного срока.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Объем гарантии устанавливается на 100% оказываемых услуг и включает в себя устранение неисправностей, возникших по вине Исполнителя.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Ответственность Исполнителя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несет полную ответственность за сохранность автотранспорта Заказчика с момента приема автотранспорта на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ТО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или ремонт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до передачи автотранспорта Заказчику, за исключением случ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аев форс-мажорных обстоятельств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несет полную материальную ответственность за ущерб, причиненный автомобилю Заказчика по вине Исполнителя во время проведения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работ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Ответственность Исполнителя регламентируется договором. За неисполнение или ненадлежащее исполнение обязательств по настоящему договору Стороны несут ответственность в соответствии с законодательством РФ.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 нарушение Исполнителем сроков исполнения обязательств по предоставлению документов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п. 3.6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ТЗ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Заказчик имеет право потребовать от Исполнителя уплаты пени в размере 1/36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5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ставки рефинансирования ЦБ РФ от суммы неисполненного обязательства за каждый день просрочки.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несет ответственность за качественное выполнение возложенных на него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за соблюдение правил охраны труда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пожарной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безопасности.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к порядку привлечению субподрядчиков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для оказания услуг, указанных в ТЗ может привлекать соисполнителей. Требования к соисполнителям указаны в соответствующих разделах данного технического задания, а также закупочной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случае привлечения соисполнителей, Исполнитель в полном объёме несёт ответственность за действия соисполнителя, в том числе соблюдения персоналом соисполнителя производственной дисциплины.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9"/>
        <w:numPr>
          <w:ilvl w:val="0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Порядок формирования коммерческого предложения участника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 закупки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, обоснования цены, расчетов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, предоставление банковских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/ независимых 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гарантий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Участник формирует свое коммерческое предложение в соответствии с ориентировочным объемом, указанным в Приложение №2 к ТЗ. Объем, приведе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нный в ТЗ, является ориентировочным и применяется только для сравнения предложений Участников (оценки привлекательности предложений), т.е. полностью не отражает реального объема требуемых услуг, которое будет оказываться в течение срока действия договора.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before="120" w:after="0" w:line="240" w:lineRule="auto"/>
        <w:tabs>
          <w:tab w:val="left" w:pos="992" w:leader="none"/>
        </w:tabs>
        <w:rPr>
          <w:rFonts w:ascii="Liberation Serif" w:hAnsi="Liberation Serif" w:cs="Liberation Serif"/>
          <w:b/>
          <w:sz w:val="26"/>
          <w:szCs w:val="26"/>
          <w:u w:val="single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u w:val="single"/>
          <w:lang w:eastAsia="ru-RU"/>
        </w:rPr>
        <w:t xml:space="preserve">В связи с этим:</w:t>
      </w:r>
      <w:r>
        <w:rPr>
          <w:rFonts w:ascii="Liberation Serif" w:hAnsi="Liberation Serif" w:cs="Liberation Serif"/>
          <w:b/>
          <w:sz w:val="26"/>
          <w:szCs w:val="26"/>
          <w:u w:val="single"/>
        </w:rPr>
      </w:r>
      <w:r>
        <w:rPr>
          <w:rFonts w:ascii="Liberation Serif" w:hAnsi="Liberation Serif" w:cs="Liberation Serif"/>
          <w:b/>
          <w:sz w:val="26"/>
          <w:szCs w:val="26"/>
          <w:u w:val="single"/>
        </w:rPr>
      </w:r>
    </w:p>
    <w:p>
      <w:pPr>
        <w:jc w:val="center"/>
        <w:spacing w:before="120" w:after="0" w:line="240" w:lineRule="auto"/>
        <w:tabs>
          <w:tab w:val="left" w:pos="992" w:leader="none"/>
        </w:tabs>
        <w:rPr>
          <w:rFonts w:ascii="Liberation Serif" w:hAnsi="Liberation Serif" w:cs="Liberation Serif"/>
          <w:b/>
          <w:sz w:val="26"/>
          <w:szCs w:val="26"/>
          <w:u w:val="single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u w:val="single"/>
          <w:lang w:eastAsia="ru-RU"/>
        </w:rPr>
        <w:t xml:space="preserve">Оферта подается Участниками на полную стоимость, объявленную в Извещении о проведении закупки (начальная (максимальная) стоимость), подача на часть лота не допускается</w:t>
      </w:r>
      <w:r>
        <w:rPr>
          <w:rFonts w:ascii="Liberation Serif" w:hAnsi="Liberation Serif" w:eastAsia="Liberation Serif" w:cs="Liberation Serif"/>
          <w:b/>
          <w:sz w:val="26"/>
          <w:szCs w:val="26"/>
          <w:u w:val="single"/>
          <w:lang w:eastAsia="ru-RU"/>
        </w:rPr>
        <w:t xml:space="preserve">.</w:t>
      </w:r>
      <w:r>
        <w:rPr>
          <w:rFonts w:ascii="Liberation Serif" w:hAnsi="Liberation Serif" w:cs="Liberation Serif"/>
          <w:b/>
          <w:sz w:val="26"/>
          <w:szCs w:val="26"/>
          <w:u w:val="single"/>
        </w:rPr>
      </w:r>
      <w:r>
        <w:rPr>
          <w:rFonts w:ascii="Liberation Serif" w:hAnsi="Liberation Serif" w:cs="Liberation Serif"/>
          <w:b/>
          <w:sz w:val="26"/>
          <w:szCs w:val="26"/>
          <w:u w:val="single"/>
        </w:rPr>
      </w:r>
    </w:p>
    <w:p>
      <w:pPr>
        <w:pStyle w:val="879"/>
        <w:contextualSpacing w:val="0"/>
        <w:ind w:left="0" w:firstLine="708"/>
        <w:jc w:val="both"/>
        <w:spacing w:before="12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Оценка коммерческих предложений Участников закупки будет проводиться путём сравнения 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стоимости ориентировочного объёма 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услуг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из предложений Участников с максимальной стоимостью, указанной одним из Участников.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contextualSpacing w:val="0"/>
        <w:ind w:left="0" w:firstLine="708"/>
        <w:jc w:val="both"/>
        <w:spacing w:before="12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Значение стоимости ориентировочного объёма 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услуг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 Участник закупки также указывает на электронной торговой площадке как «Предложение о цене за группу товаров».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9"/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 результатам закупки с Победителем будет заключен договор на полную плановую стоимость закупки. Цена за единицу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услуги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, поданная Участником закупки в коммерческом предложении, является фиксированной и изменению до окончания срока действия договора не подлежит.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Оплата оказанных осуществляется Заказчиком в срок не более 7 (семи) рабоч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их дней с даты приемки оказанных услуг, без замечаний со стороны Заказчика на основании, выставленного Исполнителем счета путем перечисления денежных средств на расчетный счет Исполнителя или иным способом, не запрещенным действующим законодательством РФ.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Полная информация по требованиям п. 4 Технического задания указана в проекте Договора, являющемся приложением к закупочной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0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к 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участникам закупки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о наличии кадровых ресурсов и их квалификации: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обязан иметь подготовленных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квалифицированных специалистов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производства любых видов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работ,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связанных с ремонтом и обслуживанием автомобилей.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оказания 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по ремонту 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ли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техническому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обслуживанию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за Заказчиком должен закрепляться квалифицированный персонал для выполнения в полном объеме всех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услуг (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работ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)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предоставляет справку о наличии кадровых ресурсов в количестве не менее 9 человек: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мастер приемщик - 1 чел.;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механик - 1 чел.;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автослесарь - 5 чел.;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моторист - 1 чел.;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автоэлектрик - 1 чел.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о наличии материально-технических ресурсов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 исполнителя должна быть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материально-техническ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баз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ремонтно-диагностическо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 оборудование: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подъемники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не менее 5 шт.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яма смотровая не менее 3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шт.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диагностическое оборудование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для выполнения диагностики всег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 модельного ряда (Приложение №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1)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оборудование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сход-развала;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площадка для увода колес;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площадка с вибростендом для проверки подвески и определения источника стука;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</w:t>
      </w:r>
      <w:hyperlink r:id="rId13" w:tooltip="Шиномонтаж" w:history="1">
        <w:r>
          <w:rPr>
            <w:rFonts w:ascii="Liberation Serif" w:hAnsi="Liberation Serif" w:eastAsia="Liberation Serif" w:cs="Liberation Serif"/>
            <w:sz w:val="24"/>
            <w:szCs w:val="24"/>
            <w:lang w:eastAsia="ru-RU"/>
          </w:rPr>
          <w:t xml:space="preserve">шиномонтажное</w:t>
        </w:r>
      </w:hyperlink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и балансировочное оборудование;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оборудование для регулировки света фар;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диагностическое оборудование для тестирования и очистки форсунок;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оборудование для диагностики системы тормозов;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 стенд для диагностики подвески пр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проведении ТО.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Одновременное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оказание услуг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 ремонту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техническому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обслуживанию до 5 автомобилей Заказчика;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предоставляет справку о наличи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материально-технических ресурсов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 объ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еме не менее указанного в п. 5.2.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Технического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к измерительным приборам и инструментам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о наличие действующих разрешений, аттестаций, лицензий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Не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 о наличии сертифицированных систем менеджмента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Не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о наличии аккредитации в Группе «Интер РАО»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Не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к опыту оказания а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налогичных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 услуг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Участник предоставляет справку о выполнении аналогичных договоров, подтверждающая наличие опыта оказания услуг по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техническому обслуживанию автомобилей и/или ремонту автомобилей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 количестве не менее 3 исполненных договоров за последние 3 года, предшествующих дате подачи заявки на участие в данной закупке.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1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Требования к субподрядным организациям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Требования, указанные в пунктах 5.1. – 5.7. применимы к привлекаемым Участником соисполнителям, в объеме поручаемых им услуг согласно «Плану распределения усл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уг между Исполнителем и субподрядными организациями». Документы, подтверждающие соответствие соисполнителей требованиям п. 5.1. – 5.7. настоящего Технического задания, а также требованиям Закупочной документации, предоставляются в составе заявки Участника.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9"/>
        <w:numPr>
          <w:ilvl w:val="0"/>
          <w:numId w:val="10"/>
        </w:numPr>
        <w:jc w:val="both"/>
        <w:spacing w:after="0" w:line="240" w:lineRule="auto"/>
        <w:tabs>
          <w:tab w:val="left" w:pos="-720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Приложения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 к ТЗ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Приложение №1 -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Перечень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транспортных средств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Приложение №2 – Ориентировочный объем оказания услуг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7"/>
          <w:szCs w:val="27"/>
        </w:rPr>
      </w:pPr>
      <w:r>
        <w:rPr>
          <w:rFonts w:ascii="Liberation Serif" w:hAnsi="Liberation Serif" w:eastAsia="Liberation Serif" w:cs="Liberation Serif"/>
          <w:sz w:val="27"/>
          <w:szCs w:val="27"/>
          <w:lang w:eastAsia="ru-RU"/>
        </w:rPr>
      </w:r>
      <w:r>
        <w:rPr>
          <w:rFonts w:ascii="Liberation Serif" w:hAnsi="Liberation Serif" w:cs="Liberation Serif"/>
          <w:sz w:val="27"/>
          <w:szCs w:val="27"/>
        </w:rPr>
      </w:r>
      <w:r>
        <w:rPr>
          <w:rFonts w:ascii="Liberation Serif" w:hAnsi="Liberation Serif" w:cs="Liberation Serif"/>
          <w:sz w:val="27"/>
          <w:szCs w:val="27"/>
        </w:rPr>
      </w:r>
    </w:p>
    <w:p>
      <w:pPr>
        <w:jc w:val="both"/>
        <w:rPr>
          <w:rFonts w:ascii="Liberation Serif" w:hAnsi="Liberation Serif" w:cs="Liberation Serif"/>
          <w:sz w:val="27"/>
          <w:szCs w:val="27"/>
        </w:rPr>
      </w:pPr>
      <w:r>
        <w:rPr>
          <w:rFonts w:ascii="Liberation Serif" w:hAnsi="Liberation Serif" w:eastAsia="Liberation Serif" w:cs="Liberation Serif"/>
          <w:sz w:val="27"/>
          <w:szCs w:val="27"/>
          <w:lang w:eastAsia="ru-RU"/>
        </w:rPr>
        <w:br w:type="page" w:clear="all"/>
      </w:r>
      <w:r>
        <w:rPr>
          <w:rFonts w:ascii="Liberation Serif" w:hAnsi="Liberation Serif" w:cs="Liberation Serif"/>
          <w:sz w:val="27"/>
          <w:szCs w:val="27"/>
        </w:rPr>
      </w:r>
      <w:r>
        <w:rPr>
          <w:rFonts w:ascii="Liberation Serif" w:hAnsi="Liberation Serif" w:cs="Liberation Serif"/>
          <w:sz w:val="27"/>
          <w:szCs w:val="27"/>
        </w:rPr>
      </w:r>
    </w:p>
    <w:p>
      <w:pPr>
        <w:ind w:left="7088" w:right="-9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" w:name="_Toc530742308"/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Приложение № 1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7088" w:right="-9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к 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техническому заданию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11"/>
        <w:jc w:val="center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Перечень транспортных средств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91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5"/>
        <w:gridCol w:w="5103"/>
        <w:gridCol w:w="2694"/>
      </w:tblGrid>
      <w:tr>
        <w:tblPrEx/>
        <w:trPr>
          <w:trHeight w:val="70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lang w:eastAsia="ru-RU"/>
              </w:rPr>
              <w:t xml:space="preserve">Марка, модель ТС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lang w:eastAsia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blPrEx/>
        <w:trPr>
          <w:trHeight w:val="70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val="en-US" w:eastAsia="ru-RU"/>
              </w:rPr>
              <w:t xml:space="preserve">TOYOTA FORTUNER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2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TOYOTA HIACE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234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TOYOTA CAMRY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13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CHEVROLET NIVA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16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LADA LARGUS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18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LADA 213100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16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10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ГАЗ-330202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243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08" w:type="dxa"/>
            <w:vAlign w:val="center"/>
            <w:textDirection w:val="lrTb"/>
            <w:noWrap w:val="false"/>
          </w:tcPr>
          <w:p>
            <w:pPr>
              <w:ind w:right="-9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lang w:eastAsia="ru-RU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lang w:eastAsia="ru-RU"/>
              </w:rPr>
              <w:t xml:space="preserve">27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</w:tbl>
    <w:p>
      <w:pPr>
        <w:spacing w:after="0" w:line="240" w:lineRule="auto"/>
        <w:tabs>
          <w:tab w:val="left" w:pos="737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hd w:val="nil" w:color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  <w:lang w:eastAsia="ru-RU"/>
        </w:rPr>
        <w:br w:type="page" w:clear="all"/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7088"/>
        <w:spacing w:after="0" w:line="240" w:lineRule="auto"/>
        <w:tabs>
          <w:tab w:val="left" w:pos="7371" w:leader="none"/>
        </w:tabs>
        <w:rPr>
          <w:rFonts w:ascii="Liberation Serif" w:hAnsi="Liberation Serif" w:eastAsia="Liberation Serif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Приложение №</w:t>
      </w:r>
      <w:bookmarkEnd w:id="2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2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:lang w:eastAsia="ru-RU"/>
        </w:rPr>
      </w:r>
    </w:p>
    <w:p>
      <w:pPr>
        <w:ind w:left="7088"/>
        <w:spacing w:after="0" w:line="240" w:lineRule="auto"/>
        <w:tabs>
          <w:tab w:val="left" w:pos="737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техническому з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аданию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9"/>
        <w:jc w:val="center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Ориентировочный объем оказания услуг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9"/>
        <w:jc w:val="center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tbl>
      <w:tblPr>
        <w:tblW w:w="97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3118"/>
        <w:gridCol w:w="2268"/>
        <w:gridCol w:w="3500"/>
      </w:tblGrid>
      <w:tr>
        <w:tblPrEx/>
        <w:trPr>
          <w:jc w:val="center"/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  <w:t xml:space="preserve">Марка ТС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  <w:t xml:space="preserve">Единица измерения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500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  <w:t xml:space="preserve">Ориентировочное к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eastAsia="ru-RU"/>
              </w:rPr>
              <w:t xml:space="preserve">оличество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Liberation Serif" w:cs="Liberation Serif"/>
                <w:lang w:val="en-US" w:eastAsia="ru-RU"/>
              </w:rPr>
              <w:t xml:space="preserve">TOYOTA FORTUNER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Нормо-час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500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Liberation Serif" w:cs="Liberation Serif"/>
                <w:lang w:val="en-US" w:eastAsia="ru-RU"/>
              </w:rPr>
              <w:t xml:space="preserve">TOYOTA HIACE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Нормо-час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500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en-US" w:eastAsia="ru-RU"/>
              </w:rPr>
              <w:t xml:space="preserve">TOYOTA CAMRY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Нормо-час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500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150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13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CHEVROLET NIVA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Нормо-час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0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150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13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LADA LARGUS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Нормо-час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0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350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13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LADA 213100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Нормо-час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0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450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13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ru-RU"/>
              </w:rPr>
              <w:t xml:space="preserve">ГАЗ-330202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eastAsia="ru-RU"/>
              </w:rPr>
              <w:t xml:space="preserve">Нормо-час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0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74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0" w:type="dxa"/>
            <w:textDirection w:val="lrTb"/>
            <w:noWrap w:val="false"/>
          </w:tcPr>
          <w:p>
            <w:pPr>
              <w:ind w:right="-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  <w:t xml:space="preserve">1250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ind w:right="-9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09" w:bottom="993" w:left="1418" w:header="709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Lucida Sans Unicode">
    <w:panose1 w:val="020B060204050402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37904044"/>
      <w:docPartObj>
        <w:docPartGallery w:val="Page Numbers (Top of Page)"/>
        <w:docPartUnique w:val="true"/>
      </w:docPartObj>
      <w:rPr/>
    </w:sdtPr>
    <w:sdtContent>
      <w:p>
        <w:pPr>
          <w:pStyle w:val="891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8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</w:r>
        <w:r>
          <w:rPr>
            <w:rFonts w:ascii="Times New Roman" w:hAnsi="Times New Roman" w:cs="Times New Roman"/>
            <w:sz w:val="24"/>
            <w:szCs w:val="24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  <w:strike w:val="0"/>
        <w:color w:val="auto"/>
      </w:rPr>
    </w:lvl>
    <w:lvl w:ilvl="1">
      <w:start w:val="1"/>
      <w:numFmt w:val="decimal"/>
      <w:isLgl w:val="false"/>
      <w:suff w:val="tab"/>
      <w:lvlText w:val="%1.%2."/>
      <w:lvlJc w:val="left"/>
      <w:pPr>
        <w:ind w:left="716" w:hanging="432"/>
        <w:tabs>
          <w:tab w:val="num" w:pos="-76" w:leader="none"/>
        </w:tabs>
      </w:pPr>
      <w:rPr>
        <w:b w:val="0"/>
        <w:strike w:val="0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  <w:rPr>
        <w:b w:val="0"/>
        <w:strike w:val="0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  <w:rPr>
        <w:b w:val="0"/>
        <w:strike w:val="0"/>
        <w:color w:val="auto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  <w:b/>
      </w:rPr>
    </w:lvl>
    <w:lvl w:ilvl="1">
      <w:start w:val="1"/>
      <w:numFmt w:val="bullet"/>
      <w:isLgl w:val="false"/>
      <w:suff w:val="tab"/>
      <w:lvlText w:val=""/>
      <w:lvlJc w:val="left"/>
      <w:pPr>
        <w:ind w:left="1130" w:hanging="420"/>
      </w:pPr>
      <w:rPr>
        <w:rFonts w:hint="default" w:ascii="Symbol" w:hAnsi="Symbol"/>
        <w:b w:val="0"/>
        <w:i w:val="0"/>
        <w:color w:val="auto"/>
      </w:rPr>
    </w:lvl>
    <w:lvl w:ilvl="2">
      <w:start w:val="1"/>
      <w:numFmt w:val="decimal"/>
      <w:isLgl/>
      <w:suff w:val="tab"/>
      <w:lvlText w:val="%1.%2.%3"/>
      <w:lvlJc w:val="left"/>
      <w:pPr>
        <w:ind w:left="1288" w:hanging="720"/>
      </w:pPr>
      <w:rPr>
        <w:rFonts w:hint="default" w:eastAsia="Times New Roman" w:cs="Times New Roman"/>
        <w:b w:val="0"/>
      </w:rPr>
    </w:lvl>
    <w:lvl w:ilvl="3">
      <w:start w:val="1"/>
      <w:numFmt w:val="decimal"/>
      <w:isLgl/>
      <w:suff w:val="tab"/>
      <w:lvlText w:val="%1.%2.%3.%4"/>
      <w:lvlJc w:val="left"/>
      <w:pPr>
        <w:ind w:left="1440" w:hanging="1080"/>
      </w:pPr>
      <w:rPr>
        <w:rFonts w:hint="default" w:eastAsia="Times New Roman" w:cs="Times New Roman"/>
        <w:b w:val="0"/>
      </w:rPr>
    </w:lvl>
    <w:lvl w:ilvl="4">
      <w:start w:val="1"/>
      <w:numFmt w:val="decimal"/>
      <w:isLgl/>
      <w:suff w:val="tab"/>
      <w:lvlText w:val="%1.%2.%3.%4.%5"/>
      <w:lvlJc w:val="left"/>
      <w:pPr>
        <w:ind w:left="1648" w:hanging="1080"/>
      </w:pPr>
      <w:rPr>
        <w:rFonts w:hint="default" w:eastAsia="Times New Roman" w:cs="Times New Roman"/>
        <w:b w:val="0"/>
      </w:rPr>
    </w:lvl>
    <w:lvl w:ilvl="5">
      <w:start w:val="1"/>
      <w:numFmt w:val="decimal"/>
      <w:isLgl/>
      <w:suff w:val="tab"/>
      <w:lvlText w:val="%1.%2.%3.%4.%5.%6"/>
      <w:lvlJc w:val="left"/>
      <w:pPr>
        <w:ind w:left="1800" w:hanging="1440"/>
      </w:pPr>
      <w:rPr>
        <w:rFonts w:hint="default" w:eastAsia="Times New Roman" w:cs="Times New Roman"/>
        <w:b/>
      </w:rPr>
    </w:lvl>
    <w:lvl w:ilvl="6">
      <w:start w:val="1"/>
      <w:numFmt w:val="decimal"/>
      <w:isLgl/>
      <w:suff w:val="tab"/>
      <w:lvlText w:val="%1.%2.%3.%4.%5.%6.%7"/>
      <w:lvlJc w:val="left"/>
      <w:pPr>
        <w:ind w:left="1800" w:hanging="1440"/>
      </w:pPr>
      <w:rPr>
        <w:rFonts w:hint="default" w:eastAsia="Times New Roman" w:cs="Times New Roman"/>
        <w:b/>
      </w:rPr>
    </w:lvl>
    <w:lvl w:ilvl="7">
      <w:start w:val="1"/>
      <w:numFmt w:val="decimal"/>
      <w:isLgl/>
      <w:suff w:val="tab"/>
      <w:lvlText w:val="%1.%2.%3.%4.%5.%6.%7.%8"/>
      <w:lvlJc w:val="left"/>
      <w:pPr>
        <w:ind w:left="2160" w:hanging="1800"/>
      </w:pPr>
      <w:rPr>
        <w:rFonts w:hint="default" w:eastAsia="Times New Roman" w:cs="Times New Roman"/>
        <w:b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520" w:hanging="2160"/>
      </w:pPr>
      <w:rPr>
        <w:rFonts w:hint="default" w:eastAsia="Times New Roman" w:cs="Times New Roman"/>
        <w:b/>
      </w:r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240" w:hanging="72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454" w:hanging="454"/>
        <w:tabs>
          <w:tab w:val="num" w:pos="0" w:leader="none"/>
        </w:tabs>
      </w:pPr>
      <w:rPr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cs="Times New Roman"/>
        <w:sz w:val="20"/>
      </w:rPr>
    </w:lvl>
    <w:lvl w:ilvl="1">
      <w:start w:val="1"/>
      <w:numFmt w:val="upperRoman"/>
      <w:isLgl w:val="false"/>
      <w:suff w:val="tab"/>
      <w:lvlText w:val="%2."/>
      <w:lvlJc w:val="left"/>
      <w:pPr>
        <w:ind w:left="1800" w:hanging="720"/>
      </w:pPr>
      <w:rPr>
        <w:rFonts w:hint="default" w:ascii="Times New Roman" w:hAnsi="Times New Roman" w:cs="Times New Roman"/>
        <w:sz w:val="24"/>
        <w:szCs w:val="24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 w:cs="Times New Roman"/>
      </w:r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</w:pPr>
      <w:rPr>
        <w:rFonts w:hint="default" w:cs="Times New Roman"/>
      </w:rPr>
    </w:lvl>
    <w:lvl w:ilvl="2">
      <w:start w:val="7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5" w:hanging="375"/>
      </w:pPr>
      <w:rPr>
        <w:rFonts w:hint="default"/>
        <w:b/>
      </w:rPr>
    </w:lvl>
    <w:lvl w:ilvl="1">
      <w:start w:val="1"/>
      <w:numFmt w:val="decimal"/>
      <w:isLgl/>
      <w:suff w:val="tab"/>
      <w:lvlText w:val="%1.%2.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425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914" w:hanging="120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914" w:hanging="120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14" w:hanging="120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14" w:hanging="120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54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14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74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3"/>
  </w:num>
  <w:num w:numId="5">
    <w:abstractNumId w:val="9"/>
  </w:num>
  <w:num w:numId="6">
    <w:abstractNumId w:val="2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1"/>
    <w:basedOn w:val="872"/>
    <w:next w:val="872"/>
    <w:link w:val="7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1">
    <w:name w:val="Heading 1 Char"/>
    <w:basedOn w:val="874"/>
    <w:link w:val="700"/>
    <w:uiPriority w:val="9"/>
    <w:rPr>
      <w:rFonts w:ascii="Arial" w:hAnsi="Arial" w:eastAsia="Arial" w:cs="Arial"/>
      <w:sz w:val="40"/>
      <w:szCs w:val="40"/>
    </w:rPr>
  </w:style>
  <w:style w:type="paragraph" w:styleId="702">
    <w:name w:val="Heading 2"/>
    <w:basedOn w:val="872"/>
    <w:next w:val="872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3">
    <w:name w:val="Heading 2 Char"/>
    <w:basedOn w:val="874"/>
    <w:link w:val="702"/>
    <w:uiPriority w:val="9"/>
    <w:rPr>
      <w:rFonts w:ascii="Arial" w:hAnsi="Arial" w:eastAsia="Arial" w:cs="Arial"/>
      <w:sz w:val="34"/>
    </w:rPr>
  </w:style>
  <w:style w:type="paragraph" w:styleId="704">
    <w:name w:val="Heading 3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5">
    <w:name w:val="Heading 3 Char"/>
    <w:basedOn w:val="874"/>
    <w:link w:val="704"/>
    <w:uiPriority w:val="9"/>
    <w:rPr>
      <w:rFonts w:ascii="Arial" w:hAnsi="Arial" w:eastAsia="Arial" w:cs="Arial"/>
      <w:sz w:val="30"/>
      <w:szCs w:val="30"/>
    </w:rPr>
  </w:style>
  <w:style w:type="paragraph" w:styleId="706">
    <w:name w:val="Heading 4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7">
    <w:name w:val="Heading 4 Char"/>
    <w:basedOn w:val="874"/>
    <w:link w:val="706"/>
    <w:uiPriority w:val="9"/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9">
    <w:name w:val="Heading 5 Char"/>
    <w:basedOn w:val="874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710">
    <w:name w:val="Heading 6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1">
    <w:name w:val="Heading 6 Char"/>
    <w:basedOn w:val="874"/>
    <w:link w:val="710"/>
    <w:uiPriority w:val="9"/>
    <w:rPr>
      <w:rFonts w:ascii="Arial" w:hAnsi="Arial" w:eastAsia="Arial" w:cs="Arial"/>
      <w:b/>
      <w:bCs/>
      <w:sz w:val="22"/>
      <w:szCs w:val="22"/>
    </w:rPr>
  </w:style>
  <w:style w:type="character" w:styleId="712">
    <w:name w:val="Heading 7 Char"/>
    <w:basedOn w:val="874"/>
    <w:link w:val="8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3">
    <w:name w:val="Heading 8"/>
    <w:basedOn w:val="872"/>
    <w:next w:val="872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4">
    <w:name w:val="Heading 8 Char"/>
    <w:basedOn w:val="874"/>
    <w:link w:val="713"/>
    <w:uiPriority w:val="9"/>
    <w:rPr>
      <w:rFonts w:ascii="Arial" w:hAnsi="Arial" w:eastAsia="Arial" w:cs="Arial"/>
      <w:i/>
      <w:iCs/>
      <w:sz w:val="22"/>
      <w:szCs w:val="22"/>
    </w:rPr>
  </w:style>
  <w:style w:type="paragraph" w:styleId="715">
    <w:name w:val="Heading 9"/>
    <w:basedOn w:val="872"/>
    <w:next w:val="872"/>
    <w:link w:val="71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6">
    <w:name w:val="Heading 9 Char"/>
    <w:basedOn w:val="874"/>
    <w:link w:val="715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No Spacing"/>
    <w:uiPriority w:val="1"/>
    <w:qFormat/>
    <w:pPr>
      <w:spacing w:before="0" w:after="0" w:line="240" w:lineRule="auto"/>
    </w:pPr>
  </w:style>
  <w:style w:type="paragraph" w:styleId="718">
    <w:name w:val="Title"/>
    <w:basedOn w:val="872"/>
    <w:next w:val="872"/>
    <w:link w:val="7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9">
    <w:name w:val="Title Char"/>
    <w:basedOn w:val="874"/>
    <w:link w:val="718"/>
    <w:uiPriority w:val="10"/>
    <w:rPr>
      <w:sz w:val="48"/>
      <w:szCs w:val="48"/>
    </w:rPr>
  </w:style>
  <w:style w:type="paragraph" w:styleId="720">
    <w:name w:val="Subtitle"/>
    <w:basedOn w:val="872"/>
    <w:next w:val="872"/>
    <w:link w:val="721"/>
    <w:uiPriority w:val="11"/>
    <w:qFormat/>
    <w:pPr>
      <w:spacing w:before="200" w:after="200"/>
    </w:pPr>
    <w:rPr>
      <w:sz w:val="24"/>
      <w:szCs w:val="24"/>
    </w:rPr>
  </w:style>
  <w:style w:type="character" w:styleId="721">
    <w:name w:val="Subtitle Char"/>
    <w:basedOn w:val="874"/>
    <w:link w:val="720"/>
    <w:uiPriority w:val="11"/>
    <w:rPr>
      <w:sz w:val="24"/>
      <w:szCs w:val="24"/>
    </w:rPr>
  </w:style>
  <w:style w:type="paragraph" w:styleId="722">
    <w:name w:val="Quote"/>
    <w:basedOn w:val="872"/>
    <w:next w:val="872"/>
    <w:link w:val="723"/>
    <w:uiPriority w:val="29"/>
    <w:qFormat/>
    <w:pPr>
      <w:ind w:left="720" w:right="720"/>
    </w:pPr>
    <w:rPr>
      <w:i/>
    </w:r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basedOn w:val="872"/>
    <w:next w:val="872"/>
    <w:link w:val="7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>
    <w:name w:val="Intense Quote Char"/>
    <w:link w:val="724"/>
    <w:uiPriority w:val="30"/>
    <w:rPr>
      <w:i/>
    </w:rPr>
  </w:style>
  <w:style w:type="character" w:styleId="726">
    <w:name w:val="Header Char"/>
    <w:basedOn w:val="874"/>
    <w:link w:val="891"/>
    <w:uiPriority w:val="99"/>
  </w:style>
  <w:style w:type="character" w:styleId="727">
    <w:name w:val="Footer Char"/>
    <w:basedOn w:val="874"/>
    <w:link w:val="893"/>
    <w:uiPriority w:val="99"/>
  </w:style>
  <w:style w:type="paragraph" w:styleId="728">
    <w:name w:val="Caption"/>
    <w:basedOn w:val="872"/>
    <w:next w:val="872"/>
    <w:link w:val="7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>
    <w:name w:val="Caption Char"/>
    <w:basedOn w:val="874"/>
    <w:link w:val="728"/>
    <w:uiPriority w:val="35"/>
    <w:rPr>
      <w:b/>
      <w:bCs/>
      <w:color w:val="4f81bd" w:themeColor="accent1"/>
      <w:sz w:val="18"/>
      <w:szCs w:val="18"/>
    </w:rPr>
  </w:style>
  <w:style w:type="table" w:styleId="730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9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1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3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4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1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2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3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4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5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6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3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4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5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6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7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8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1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2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3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4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5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6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7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8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9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0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1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2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3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4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9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0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1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2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3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4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basedOn w:val="874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basedOn w:val="874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qFormat/>
  </w:style>
  <w:style w:type="paragraph" w:styleId="873">
    <w:name w:val="Heading 7"/>
    <w:basedOn w:val="872"/>
    <w:next w:val="872"/>
    <w:link w:val="884"/>
    <w:unhideWhenUsed/>
    <w:qFormat/>
    <w:pPr>
      <w:spacing w:before="240" w:after="60" w:line="240" w:lineRule="auto"/>
      <w:outlineLvl w:val="6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4" w:default="1">
    <w:name w:val="Default Paragraph Font"/>
    <w:uiPriority w:val="1"/>
    <w:semiHidden/>
    <w:unhideWhenUsed/>
  </w:style>
  <w:style w:type="table" w:styleId="8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6" w:default="1">
    <w:name w:val="No List"/>
    <w:uiPriority w:val="99"/>
    <w:semiHidden/>
    <w:unhideWhenUsed/>
  </w:style>
  <w:style w:type="paragraph" w:styleId="877">
    <w:name w:val="Body Text"/>
    <w:basedOn w:val="872"/>
    <w:link w:val="878"/>
    <w:pPr>
      <w:spacing w:after="120" w:line="240" w:lineRule="auto"/>
      <w:widowControl w:val="off"/>
    </w:pPr>
    <w:rPr>
      <w:rFonts w:ascii="Times New Roman" w:hAnsi="Times New Roman" w:eastAsia="Lucida Sans Unicode" w:cs="Tahoma"/>
      <w:sz w:val="24"/>
      <w:szCs w:val="24"/>
      <w:lang w:eastAsia="ru-RU" w:bidi="ru-RU"/>
    </w:rPr>
  </w:style>
  <w:style w:type="character" w:styleId="878" w:customStyle="1">
    <w:name w:val="Основной текст Знак"/>
    <w:basedOn w:val="874"/>
    <w:link w:val="877"/>
    <w:rPr>
      <w:rFonts w:ascii="Times New Roman" w:hAnsi="Times New Roman" w:eastAsia="Lucida Sans Unicode" w:cs="Tahoma"/>
      <w:sz w:val="24"/>
      <w:szCs w:val="24"/>
      <w:lang w:eastAsia="ru-RU" w:bidi="ru-RU"/>
    </w:rPr>
  </w:style>
  <w:style w:type="paragraph" w:styleId="879">
    <w:name w:val="List Paragraph"/>
    <w:basedOn w:val="872"/>
    <w:link w:val="895"/>
    <w:uiPriority w:val="34"/>
    <w:qFormat/>
    <w:pPr>
      <w:contextualSpacing/>
      <w:ind w:left="720"/>
    </w:pPr>
  </w:style>
  <w:style w:type="paragraph" w:styleId="880" w:customStyle="1">
    <w:name w:val="ConsNormal"/>
    <w:pPr>
      <w:ind w:right="19772" w:firstLine="720"/>
      <w:spacing w:after="0" w:line="240" w:lineRule="auto"/>
      <w:widowControl w:val="off"/>
    </w:pPr>
    <w:rPr>
      <w:rFonts w:ascii="Arial" w:hAnsi="Arial" w:eastAsia="Arial" w:cs="Arial"/>
      <w:sz w:val="20"/>
      <w:szCs w:val="20"/>
      <w:lang w:eastAsia="ar-SA"/>
    </w:rPr>
  </w:style>
  <w:style w:type="paragraph" w:styleId="881">
    <w:name w:val="Balloon Text"/>
    <w:basedOn w:val="872"/>
    <w:link w:val="88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2" w:customStyle="1">
    <w:name w:val="Текст выноски Знак"/>
    <w:basedOn w:val="874"/>
    <w:link w:val="881"/>
    <w:uiPriority w:val="99"/>
    <w:semiHidden/>
    <w:rPr>
      <w:rFonts w:ascii="Tahoma" w:hAnsi="Tahoma" w:cs="Tahoma"/>
      <w:sz w:val="16"/>
      <w:szCs w:val="16"/>
    </w:rPr>
  </w:style>
  <w:style w:type="character" w:styleId="883">
    <w:name w:val="Hyperlink"/>
    <w:basedOn w:val="874"/>
    <w:uiPriority w:val="99"/>
    <w:semiHidden/>
    <w:unhideWhenUsed/>
    <w:rPr>
      <w:strike w:val="0"/>
      <w:color w:val="0066cc"/>
      <w:u w:val="none"/>
    </w:rPr>
  </w:style>
  <w:style w:type="character" w:styleId="884" w:customStyle="1">
    <w:name w:val="Заголовок 7 Знак"/>
    <w:basedOn w:val="874"/>
    <w:link w:val="87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5">
    <w:name w:val="annotation reference"/>
    <w:basedOn w:val="874"/>
    <w:uiPriority w:val="99"/>
    <w:semiHidden/>
    <w:unhideWhenUsed/>
    <w:rPr>
      <w:sz w:val="16"/>
      <w:szCs w:val="16"/>
    </w:rPr>
  </w:style>
  <w:style w:type="paragraph" w:styleId="886">
    <w:name w:val="annotation text"/>
    <w:basedOn w:val="872"/>
    <w:link w:val="88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87" w:customStyle="1">
    <w:name w:val="Текст примечания Знак"/>
    <w:basedOn w:val="874"/>
    <w:link w:val="886"/>
    <w:uiPriority w:val="99"/>
    <w:semiHidden/>
    <w:rPr>
      <w:sz w:val="20"/>
      <w:szCs w:val="20"/>
    </w:rPr>
  </w:style>
  <w:style w:type="paragraph" w:styleId="888">
    <w:name w:val="annotation subject"/>
    <w:basedOn w:val="886"/>
    <w:next w:val="886"/>
    <w:link w:val="889"/>
    <w:uiPriority w:val="99"/>
    <w:semiHidden/>
    <w:unhideWhenUsed/>
    <w:rPr>
      <w:b/>
      <w:bCs/>
    </w:rPr>
  </w:style>
  <w:style w:type="character" w:styleId="889" w:customStyle="1">
    <w:name w:val="Тема примечания Знак"/>
    <w:basedOn w:val="887"/>
    <w:link w:val="888"/>
    <w:uiPriority w:val="99"/>
    <w:semiHidden/>
    <w:rPr>
      <w:b/>
      <w:bCs/>
      <w:sz w:val="20"/>
      <w:szCs w:val="20"/>
    </w:rPr>
  </w:style>
  <w:style w:type="table" w:styleId="890">
    <w:name w:val="Table Grid"/>
    <w:basedOn w:val="87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1">
    <w:name w:val="Header"/>
    <w:basedOn w:val="872"/>
    <w:link w:val="89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2" w:customStyle="1">
    <w:name w:val="Верхний колонтитул Знак"/>
    <w:basedOn w:val="874"/>
    <w:link w:val="891"/>
    <w:uiPriority w:val="99"/>
  </w:style>
  <w:style w:type="paragraph" w:styleId="893">
    <w:name w:val="Footer"/>
    <w:basedOn w:val="872"/>
    <w:link w:val="89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4" w:customStyle="1">
    <w:name w:val="Нижний колонтитул Знак"/>
    <w:basedOn w:val="874"/>
    <w:link w:val="893"/>
    <w:uiPriority w:val="99"/>
  </w:style>
  <w:style w:type="character" w:styleId="895" w:customStyle="1">
    <w:name w:val="Абзац списка Знак"/>
    <w:link w:val="879"/>
    <w:uiPriority w:val="34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https://pandia.ru/text/category/zakoni_v_rossii/" TargetMode="External"/><Relationship Id="rId13" Type="http://schemas.openxmlformats.org/officeDocument/2006/relationships/hyperlink" Target="https://pandia.ru/text/category/shinomontazh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9E333-B1AA-46C2-B026-4A114C252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Бовкун Елена Валерьевна</dc:creator>
  <cp:lastModifiedBy>smirnyagina_as</cp:lastModifiedBy>
  <cp:revision>8</cp:revision>
  <dcterms:created xsi:type="dcterms:W3CDTF">2024-09-18T06:09:00Z</dcterms:created>
  <dcterms:modified xsi:type="dcterms:W3CDTF">2025-11-14T10:09:57Z</dcterms:modified>
</cp:coreProperties>
</file>